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6B49" w:rsidRDefault="00C56B49">
      <w:pPr>
        <w:pStyle w:val="ConsPlusTitlePage"/>
      </w:pPr>
      <w:r>
        <w:br/>
      </w:r>
    </w:p>
    <w:p w:rsidR="00C56B49" w:rsidRDefault="00C56B49">
      <w:pPr>
        <w:pStyle w:val="ConsPlusNormal"/>
        <w:outlineLvl w:val="0"/>
      </w:pPr>
    </w:p>
    <w:p w:rsidR="00C56B49" w:rsidRDefault="00C56B49">
      <w:pPr>
        <w:pStyle w:val="ConsPlusTitle"/>
        <w:jc w:val="center"/>
        <w:outlineLvl w:val="0"/>
      </w:pPr>
      <w:r>
        <w:t>ПРАВИТЕЛЬСТВО ИВАНОВСКОЙ ОБЛАСТИ</w:t>
      </w:r>
    </w:p>
    <w:p w:rsidR="00C56B49" w:rsidRDefault="00C56B49">
      <w:pPr>
        <w:pStyle w:val="ConsPlusTitle"/>
        <w:jc w:val="center"/>
      </w:pPr>
    </w:p>
    <w:p w:rsidR="00C56B49" w:rsidRDefault="00C56B49">
      <w:pPr>
        <w:pStyle w:val="ConsPlusTitle"/>
        <w:jc w:val="center"/>
      </w:pPr>
      <w:r>
        <w:t>ПОСТАНОВЛЕНИЕ</w:t>
      </w:r>
    </w:p>
    <w:p w:rsidR="00C56B49" w:rsidRDefault="00C56B49">
      <w:pPr>
        <w:pStyle w:val="ConsPlusTitle"/>
        <w:jc w:val="center"/>
      </w:pPr>
      <w:r>
        <w:t>от 14 февраля 2025 г. N 43-п</w:t>
      </w:r>
    </w:p>
    <w:p w:rsidR="00C56B49" w:rsidRDefault="00C56B49">
      <w:pPr>
        <w:pStyle w:val="ConsPlusTitle"/>
        <w:jc w:val="center"/>
      </w:pPr>
    </w:p>
    <w:p w:rsidR="00C56B49" w:rsidRDefault="00C56B49">
      <w:pPr>
        <w:pStyle w:val="ConsPlusTitle"/>
        <w:jc w:val="center"/>
      </w:pPr>
      <w:r>
        <w:t>ОБ УТВЕРЖДЕНИИ РЕГИОНАЛЬНОЙ ПРОГРАММЫ "ПОВЫШЕНИЕ УРОВНЯ</w:t>
      </w:r>
    </w:p>
    <w:p w:rsidR="00C56B49" w:rsidRDefault="00C56B49">
      <w:pPr>
        <w:pStyle w:val="ConsPlusTitle"/>
        <w:jc w:val="center"/>
      </w:pPr>
      <w:r>
        <w:t>ФИНАНСОВОЙ ГРАМОТНОСТИ НАСЕЛЕНИЯ ИВАНОВСКОЙ ОБЛАСТИ</w:t>
      </w:r>
    </w:p>
    <w:p w:rsidR="00C56B49" w:rsidRDefault="00C56B49">
      <w:pPr>
        <w:pStyle w:val="ConsPlusTitle"/>
        <w:jc w:val="center"/>
      </w:pPr>
      <w:r>
        <w:t>НА 2025 - 2030 ГОДЫ"</w:t>
      </w: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Normal"/>
        <w:ind w:firstLine="540"/>
        <w:jc w:val="both"/>
      </w:pPr>
      <w:r>
        <w:t xml:space="preserve">Во исполнение </w:t>
      </w:r>
      <w:hyperlink r:id="rId4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</w:t>
      </w:r>
      <w:hyperlink r:id="rId5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24.10.2023 N 2958-р, Правительство Ивановской области постановляет: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  <w:r>
        <w:t xml:space="preserve">Утвердить региональную </w:t>
      </w:r>
      <w:hyperlink w:anchor="P27">
        <w:r>
          <w:rPr>
            <w:color w:val="0000FF"/>
          </w:rPr>
          <w:t>программу</w:t>
        </w:r>
      </w:hyperlink>
      <w:r>
        <w:t xml:space="preserve"> "Повышение уровня финансовой грамотности населения Ивановской области на 2025 - 2030 годы" согласно приложению к настоящему постановлению.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jc w:val="right"/>
      </w:pPr>
      <w:r>
        <w:t>Губернатор Ивановской области</w:t>
      </w:r>
    </w:p>
    <w:p w:rsidR="00C56B49" w:rsidRDefault="00C56B49">
      <w:pPr>
        <w:pStyle w:val="ConsPlusNormal"/>
        <w:jc w:val="right"/>
      </w:pPr>
      <w:r>
        <w:t>С.С.ВОСКРЕСЕНСКИЙ</w:t>
      </w:r>
    </w:p>
    <w:p w:rsidR="00C56B49" w:rsidRDefault="00C56B49">
      <w:pPr>
        <w:pStyle w:val="ConsPlusNormal"/>
      </w:pPr>
    </w:p>
    <w:p w:rsidR="00C56B49" w:rsidRDefault="00C56B49">
      <w:pPr>
        <w:pStyle w:val="ConsPlusNormal"/>
      </w:pPr>
    </w:p>
    <w:p w:rsidR="00C56B49" w:rsidRDefault="00C56B49">
      <w:pPr>
        <w:pStyle w:val="ConsPlusNormal"/>
      </w:pPr>
    </w:p>
    <w:p w:rsidR="00C56B49" w:rsidRDefault="00C56B49">
      <w:pPr>
        <w:pStyle w:val="ConsPlusNormal"/>
      </w:pPr>
    </w:p>
    <w:p w:rsidR="00C56B49" w:rsidRDefault="00C56B49">
      <w:pPr>
        <w:pStyle w:val="ConsPlusNormal"/>
      </w:pPr>
    </w:p>
    <w:p w:rsidR="00C56B49" w:rsidRDefault="00C56B49">
      <w:pPr>
        <w:pStyle w:val="ConsPlusNormal"/>
        <w:jc w:val="right"/>
        <w:outlineLvl w:val="0"/>
      </w:pPr>
      <w:r>
        <w:t>Приложение</w:t>
      </w:r>
    </w:p>
    <w:p w:rsidR="00C56B49" w:rsidRDefault="00C56B49">
      <w:pPr>
        <w:pStyle w:val="ConsPlusNormal"/>
        <w:jc w:val="right"/>
      </w:pPr>
      <w:r>
        <w:t>к постановлению</w:t>
      </w:r>
    </w:p>
    <w:p w:rsidR="00C56B49" w:rsidRDefault="00C56B49">
      <w:pPr>
        <w:pStyle w:val="ConsPlusNormal"/>
        <w:jc w:val="right"/>
      </w:pPr>
      <w:r>
        <w:t>Правительства</w:t>
      </w:r>
    </w:p>
    <w:p w:rsidR="00C56B49" w:rsidRDefault="00C56B49">
      <w:pPr>
        <w:pStyle w:val="ConsPlusNormal"/>
        <w:jc w:val="right"/>
      </w:pPr>
      <w:r>
        <w:t>Ивановской области</w:t>
      </w:r>
    </w:p>
    <w:p w:rsidR="00C56B49" w:rsidRDefault="00C56B49">
      <w:pPr>
        <w:pStyle w:val="ConsPlusNormal"/>
        <w:jc w:val="right"/>
      </w:pPr>
      <w:r>
        <w:t>от 14.02.2025 N 43-п</w:t>
      </w:r>
    </w:p>
    <w:p w:rsidR="00C56B49" w:rsidRDefault="00C56B49">
      <w:pPr>
        <w:pStyle w:val="ConsPlusNormal"/>
      </w:pPr>
    </w:p>
    <w:p w:rsidR="00C56B49" w:rsidRDefault="00C56B49">
      <w:pPr>
        <w:pStyle w:val="ConsPlusTitle"/>
        <w:jc w:val="center"/>
      </w:pPr>
      <w:bookmarkStart w:id="0" w:name="P27"/>
      <w:bookmarkEnd w:id="0"/>
      <w:r>
        <w:t>РЕГИОНАЛЬНАЯ ПРОГРАММА</w:t>
      </w:r>
    </w:p>
    <w:p w:rsidR="00C56B49" w:rsidRDefault="00C56B49">
      <w:pPr>
        <w:pStyle w:val="ConsPlusTitle"/>
        <w:jc w:val="center"/>
      </w:pPr>
      <w:r>
        <w:t>"ПОВЫШЕНИЕ УРОВНЯ ФИНАНСОВОЙ ГРАМОТНОСТИ НАСЕЛЕНИЯ</w:t>
      </w:r>
    </w:p>
    <w:p w:rsidR="00C56B49" w:rsidRDefault="00C56B49">
      <w:pPr>
        <w:pStyle w:val="ConsPlusTitle"/>
        <w:jc w:val="center"/>
      </w:pPr>
      <w:r>
        <w:t>ИВАНОВСКОЙ ОБЛАСТИ НА 2025 - 2030 ГОДЫ"</w:t>
      </w:r>
    </w:p>
    <w:p w:rsidR="00C56B49" w:rsidRDefault="00C56B49">
      <w:pPr>
        <w:pStyle w:val="ConsPlusNormal"/>
      </w:pPr>
    </w:p>
    <w:p w:rsidR="00C56B49" w:rsidRDefault="00C56B49">
      <w:pPr>
        <w:pStyle w:val="ConsPlusTitle"/>
        <w:jc w:val="center"/>
        <w:outlineLvl w:val="1"/>
      </w:pPr>
      <w:r>
        <w:t>Паспорт региональной программы "Повышение уровня</w:t>
      </w:r>
    </w:p>
    <w:p w:rsidR="00C56B49" w:rsidRDefault="00C56B49">
      <w:pPr>
        <w:pStyle w:val="ConsPlusTitle"/>
        <w:jc w:val="center"/>
      </w:pPr>
      <w:r>
        <w:t>финансовой грамотности населения Ивановской области</w:t>
      </w:r>
    </w:p>
    <w:p w:rsidR="00C56B49" w:rsidRDefault="00C56B49">
      <w:pPr>
        <w:pStyle w:val="ConsPlusTitle"/>
        <w:jc w:val="center"/>
      </w:pPr>
      <w:r>
        <w:t>на 2025 - 2030 годы"</w:t>
      </w:r>
    </w:p>
    <w:p w:rsidR="00C56B49" w:rsidRDefault="00C56B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Региональная программа "Повышение уровня финансовой грамотности населения Ивановской области на 2025 - 2030 годы" (далее - Программа)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Координатор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образования и науки Ивановской области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Исполнители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образования и науки Ивановской области;</w:t>
            </w:r>
          </w:p>
          <w:p w:rsidR="00C56B49" w:rsidRDefault="00C56B49">
            <w:pPr>
              <w:pStyle w:val="ConsPlusNormal"/>
              <w:jc w:val="both"/>
            </w:pPr>
            <w:r>
              <w:t>Департамент социальной защиты населения Ивановской области;</w:t>
            </w:r>
          </w:p>
          <w:p w:rsidR="00C56B49" w:rsidRDefault="00C56B49">
            <w:pPr>
              <w:pStyle w:val="ConsPlusNormal"/>
              <w:jc w:val="both"/>
            </w:pPr>
            <w:r>
              <w:t>Департамент культуры Ивановской области;</w:t>
            </w:r>
          </w:p>
          <w:p w:rsidR="00C56B49" w:rsidRDefault="00C56B49">
            <w:pPr>
              <w:pStyle w:val="ConsPlusNormal"/>
              <w:jc w:val="both"/>
            </w:pPr>
            <w:r>
              <w:t>Департамент здравоохранения Ивановской области;</w:t>
            </w:r>
          </w:p>
          <w:p w:rsidR="00C56B49" w:rsidRDefault="00C56B49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области;</w:t>
            </w:r>
          </w:p>
          <w:p w:rsidR="00C56B49" w:rsidRDefault="00C56B49">
            <w:pPr>
              <w:pStyle w:val="ConsPlusNormal"/>
              <w:jc w:val="both"/>
            </w:pPr>
            <w:r>
              <w:t>Департамент финансов Ивановской области;</w:t>
            </w:r>
          </w:p>
          <w:p w:rsidR="00C56B49" w:rsidRDefault="00C56B49">
            <w:pPr>
              <w:pStyle w:val="ConsPlusNormal"/>
              <w:jc w:val="both"/>
            </w:pPr>
            <w:r>
              <w:lastRenderedPageBreak/>
              <w:t>комитет Ивановской области по труду, содействию занятости населения и трудовой миграции;</w:t>
            </w:r>
          </w:p>
          <w:p w:rsidR="00C56B49" w:rsidRDefault="00C56B49">
            <w:pPr>
              <w:pStyle w:val="ConsPlusNormal"/>
              <w:jc w:val="both"/>
            </w:pPr>
            <w:r>
              <w:t>Отделение по Ивановской области Главного управления Центрального банка Российской Федерации по Центральному федеральному округу;</w:t>
            </w:r>
          </w:p>
          <w:p w:rsidR="00C56B49" w:rsidRDefault="00C56B49">
            <w:pPr>
              <w:pStyle w:val="ConsPlusNormal"/>
              <w:jc w:val="both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инноваций";</w:t>
            </w:r>
          </w:p>
          <w:p w:rsidR="00C56B49" w:rsidRDefault="00C56B49">
            <w:pPr>
              <w:pStyle w:val="ConsPlusNormal"/>
              <w:jc w:val="both"/>
            </w:pPr>
            <w:r>
              <w:t>Федеральное государственное бюджетное образовательное учреждение высшего образования "Ивановский государственный университет";</w:t>
            </w:r>
          </w:p>
          <w:p w:rsidR="00C56B49" w:rsidRDefault="00C56B49">
            <w:pPr>
              <w:pStyle w:val="ConsPlusNormal"/>
              <w:jc w:val="both"/>
            </w:pPr>
            <w:r>
              <w:t>Федеральное государственное бюджетное образовательное учреждение высшего образования "Ивановский государственный химико-технологический университет";</w:t>
            </w:r>
          </w:p>
          <w:p w:rsidR="00C56B49" w:rsidRDefault="00C56B49">
            <w:pPr>
              <w:pStyle w:val="ConsPlusNormal"/>
              <w:jc w:val="both"/>
            </w:pPr>
            <w:r>
              <w:t>Ивановский филиал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Федерации";</w:t>
            </w:r>
          </w:p>
          <w:p w:rsidR="00C56B49" w:rsidRDefault="00C56B49">
            <w:pPr>
              <w:pStyle w:val="ConsPlusNormal"/>
              <w:jc w:val="both"/>
            </w:pPr>
            <w:r>
              <w:t>Автономная организация "Центр развития предпринимательства и поддержки экспорта Ивановской области";</w:t>
            </w:r>
          </w:p>
          <w:p w:rsidR="00C56B49" w:rsidRDefault="00C56B49">
            <w:pPr>
              <w:pStyle w:val="ConsPlusNormal"/>
              <w:jc w:val="both"/>
            </w:pPr>
            <w:r>
              <w:t>администрации муниципальных районов и городских округов Ивановской области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>Цель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Формирование у граждан ключевых элементов финансовой культуры (ценностей, установок и поведенческих практик), способствующих финансовому благополучию гражданина, семьи и общества, в том числе через формирование компетенций по финансовой грамотности, расширение практических навыков и опыта принятия финансовых решений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      </w:r>
          </w:p>
          <w:p w:rsidR="00C56B49" w:rsidRDefault="00C56B49">
            <w:pPr>
              <w:pStyle w:val="ConsPlusNormal"/>
              <w:jc w:val="both"/>
            </w:pPr>
            <w:r>
      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      </w:r>
          </w:p>
          <w:p w:rsidR="00C56B49" w:rsidRDefault="00C56B49">
            <w:pPr>
              <w:pStyle w:val="ConsPlusNormal"/>
              <w:jc w:val="both"/>
            </w:pPr>
            <w:r>
              <w:t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      </w:r>
          </w:p>
          <w:p w:rsidR="00C56B49" w:rsidRDefault="00C56B49">
            <w:pPr>
              <w:pStyle w:val="ConsPlusNormal"/>
              <w:jc w:val="both"/>
            </w:pPr>
            <w:r>
              <w:t>ведение целевой информационно-просветительской деятельности в отношении отдельных групп граждан;</w:t>
            </w:r>
          </w:p>
          <w:p w:rsidR="00C56B49" w:rsidRDefault="00C56B49">
            <w:pPr>
              <w:pStyle w:val="ConsPlusNormal"/>
              <w:jc w:val="both"/>
            </w:pPr>
            <w:r>
              <w:t>расширение положительного опыта использования гражданами финансовых продуктов и услуг, сопровождаемое экспертизой со стороны государства и гражданского общества качества и потребительской ценности предлагаемых на рынке финансовых продуктов и услуг;</w:t>
            </w:r>
          </w:p>
          <w:p w:rsidR="00C56B49" w:rsidRDefault="00C56B49">
            <w:pPr>
              <w:pStyle w:val="ConsPlusNormal"/>
              <w:jc w:val="both"/>
            </w:pPr>
            <w:r>
              <w:t>формирование доверительного отношения граждан к финансовому рынку и финансовым институтам;</w:t>
            </w:r>
          </w:p>
          <w:p w:rsidR="00C56B49" w:rsidRDefault="00C56B49">
            <w:pPr>
              <w:pStyle w:val="ConsPlusNormal"/>
              <w:jc w:val="both"/>
            </w:pPr>
            <w:r>
              <w:t xml:space="preserve">обеспечение финансовой безопасности, в том числе финансовой кибербезопасности, путем формирования у граждан навыков, установок и поведенческих практик для защиты от возможных рисков в финансовой сфере, эффективного противодействия нелегальной </w:t>
            </w:r>
            <w:r>
              <w:lastRenderedPageBreak/>
              <w:t>деятельности на финансовом рынке и мошенничеству;</w:t>
            </w:r>
          </w:p>
          <w:p w:rsidR="00C56B49" w:rsidRDefault="00C56B49">
            <w:pPr>
              <w:pStyle w:val="ConsPlusNormal"/>
              <w:jc w:val="both"/>
            </w:pPr>
            <w:r>
              <w:t>обеспечение подготовки кадров в сфере финансовой грамотности;</w:t>
            </w:r>
          </w:p>
          <w:p w:rsidR="00C56B49" w:rsidRDefault="00C56B49">
            <w:pPr>
              <w:pStyle w:val="ConsPlusNormal"/>
              <w:jc w:val="both"/>
            </w:pPr>
            <w:r>
              <w:t>обеспечение регулярного мониторинга состояния финансовой грамотности и финансовой культуры в регионе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>Целевые (контрольные) показатели реализации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Доля обучающихся в общеобразовательных организациях,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образования.</w:t>
            </w:r>
          </w:p>
          <w:p w:rsidR="00C56B49" w:rsidRDefault="00C56B49">
            <w:pPr>
              <w:pStyle w:val="ConsPlusNormal"/>
              <w:jc w:val="both"/>
            </w:pPr>
            <w:r>
              <w:t>Доля обучающихся в профессиональных образовательных организациях,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среднего профессионального образования.</w:t>
            </w:r>
          </w:p>
          <w:p w:rsidR="00C56B49" w:rsidRDefault="00C56B49">
            <w:pPr>
              <w:pStyle w:val="ConsPlusNormal"/>
              <w:jc w:val="both"/>
            </w:pPr>
            <w:r>
              <w:t>Доля образовательных организаций высшего образования, осуществляющих деятельность на территории Ивановской области, которые обеспечили включение элементов финансовой грамотности в образовательные программы высшего образования.</w:t>
            </w:r>
          </w:p>
          <w:p w:rsidR="00C56B49" w:rsidRDefault="00C56B49">
            <w:pPr>
              <w:pStyle w:val="ConsPlusNormal"/>
              <w:jc w:val="both"/>
            </w:pPr>
            <w:r>
              <w:t>Доля обучающихся в образовательных организациях высшего образования,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высшего образования.</w:t>
            </w:r>
          </w:p>
          <w:p w:rsidR="00C56B49" w:rsidRDefault="00C56B49">
            <w:pPr>
              <w:pStyle w:val="ConsPlusNormal"/>
              <w:jc w:val="both"/>
            </w:pPr>
            <w:r>
              <w:t>Количество педагогических работников в Ивановской области, освоивших дополнительные профессиональные программы повышения квалификации по тематике финансовой грамотности.</w:t>
            </w:r>
          </w:p>
          <w:p w:rsidR="00C56B49" w:rsidRDefault="00C56B49">
            <w:pPr>
              <w:pStyle w:val="ConsPlusNormal"/>
              <w:jc w:val="both"/>
            </w:pPr>
            <w:r>
              <w:t>Доля обучающихся образовательных организаций Ивановской области, принявших участие во всероссийских и региональных олимпиадах и конкурсах по финансовой грамотности.</w:t>
            </w:r>
          </w:p>
          <w:p w:rsidR="00C56B49" w:rsidRDefault="00C56B49">
            <w:pPr>
              <w:pStyle w:val="ConsPlusNormal"/>
              <w:jc w:val="both"/>
            </w:pPr>
            <w:r>
              <w:t>Доля жителей Ивановской области, принявших участие во Всероссийском онлайн-зачете по финансовой грамотности, от общей численности населения региона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2025 - 2030 годы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Финансирование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Финансирование мероприятий Программы планируется осуществлять за счет средств исполнителей Программы</w:t>
            </w:r>
          </w:p>
        </w:tc>
      </w:tr>
      <w:tr w:rsidR="00C56B49">
        <w:tc>
          <w:tcPr>
            <w:tcW w:w="2267" w:type="dxa"/>
          </w:tcPr>
          <w:p w:rsidR="00C56B49" w:rsidRDefault="00C56B49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6803" w:type="dxa"/>
          </w:tcPr>
          <w:p w:rsidR="00C56B49" w:rsidRDefault="00C56B49">
            <w:pPr>
              <w:pStyle w:val="ConsPlusNormal"/>
              <w:jc w:val="both"/>
            </w:pPr>
            <w:r>
              <w:t>Положительная динамика целевых индикаторов, предусмотренных настоящей Программой, с достижением значений, установленных в рамках срока реализации Программы</w:t>
            </w:r>
          </w:p>
        </w:tc>
      </w:tr>
    </w:tbl>
    <w:p w:rsidR="00C56B49" w:rsidRDefault="00C56B49">
      <w:pPr>
        <w:pStyle w:val="ConsPlusNormal"/>
        <w:jc w:val="center"/>
      </w:pPr>
    </w:p>
    <w:p w:rsidR="00C56B49" w:rsidRDefault="00C56B49">
      <w:pPr>
        <w:pStyle w:val="ConsPlusTitle"/>
        <w:jc w:val="center"/>
        <w:outlineLvl w:val="1"/>
      </w:pPr>
      <w:r>
        <w:t>1. Основные понятия, используемые в Программе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  <w:r>
        <w:t>Для целей Программы используются следующие основные понятия: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финансовая грамотность - результат процесса финансового образования, который определяется как сочетание осведомленности, знаний, умений и поведенческих моделей, необходимых для принятия успешных финансовых решений и в конечном итоге для достижения </w:t>
      </w:r>
      <w:r>
        <w:lastRenderedPageBreak/>
        <w:t>финансового благосостояния;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финансовое образование (финансовое просвещение) - процесс, посредством которого граждане как потребители финансовых услуг улучшают свое понимание финансовых продуктов, концепций и рисков и с помощью информации, обучения развивают свои навыки и повышают осведомленность о финансовых рисках и возможностях, делают осознанный выбор в отношении финансовых продуктов и услуг, узнают, куда обратиться за помощью, а также принимают другие эффективные меры для улучшения своего финансового положения;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основы финансово грамотного поведения - сочетание финансовых знаний, установок, норм и практических навыков,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финансовая культура - ценности, установки и поведенческие практики граждан в финансовой сфере, зависящие от воспитания, уровня финансовой грамотности, опыта принятия финансовых решений, уровня развития финансового рынка и общественных институтов;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целевые группы Программы: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целевая группа населения, составляющая потенциал будущего развития России, - обучающиеся дошкольных образовательных организаций, общеобразовательных организаций, профессиональных образовательных организаций, организаций дополнительного образования детей, образовательных организаций высшего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целевая группа населения, формирующая основы финансовой грамотности обучающихся, - педагогические работники дошкольных образовательных организаций, общеобразовательных организаций, профессиональных образовательных организаций, организаций дополнительного образования детей, образовательных организаций высшего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целевая группа населения, склонная к рискованному типу финансового поведения в сложных жизненных обстоятельствах, - граждане с низким и средним уровнем доходов;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целевая группа населения, испытывающая трудности при реализации своих прав на финансовое образование и их защиту, - граждане пенсионного и предпенсионного возраста, лица с ограниченными возможностями здоровья, дети-сироты и дети, оставшиеся без попечения родителей;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субъекты малого и среднего предпринимательства - граждане, применяющие специальный налоговый режим "Налог на профессиональный доход" (самозанятые), а также физические лица, планирующие ведение предпринимательской деятельности;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общественно значимые социальные мероприятия по повышению уровня финансовой грамотности населения - мероприятия (конференции, олимпиады, выставки, форумы и другие), направленные на реализацию Программы.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Title"/>
        <w:jc w:val="center"/>
        <w:outlineLvl w:val="1"/>
      </w:pPr>
      <w:r>
        <w:t>2. Характеристика проблемы,</w:t>
      </w:r>
    </w:p>
    <w:p w:rsidR="00C56B49" w:rsidRDefault="00C56B49">
      <w:pPr>
        <w:pStyle w:val="ConsPlusTitle"/>
        <w:jc w:val="center"/>
      </w:pPr>
      <w:r>
        <w:t>на решение которой направлена Программа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  <w:r>
        <w:t xml:space="preserve">На территории Ивановской области в 2022 - 2023 годах реализована региональная </w:t>
      </w:r>
      <w:hyperlink r:id="rId6">
        <w:r>
          <w:rPr>
            <w:color w:val="0000FF"/>
          </w:rPr>
          <w:t>программа</w:t>
        </w:r>
      </w:hyperlink>
      <w:r>
        <w:t xml:space="preserve"> "Повышение уровня финансовой грамотности населения Ивановской области на 2022 - 2023 годы", утвержденная постановлением Правительства Ивановской области от 29.12.2021 N 714-п.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По данным мониторинга, проведенного Департаментом образования и науки в 2023 году, доля государственных профессиональных образовательных и общеобразовательных организаций, в которых обеспечено включение элементов финансовой грамотности в основные </w:t>
      </w:r>
      <w:r>
        <w:lastRenderedPageBreak/>
        <w:t>образовательные программы, составила 100%.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Количество школьников, охваченных обучением финансовой грамотности в рамках общеобразовательных программ, - 73,3 тыс. человек (73% от общего количества обучающихся).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На базе 3 организаций для детей-сирот организовано обучение воспитанников в возрасте 12 - 17 лет основам финансовой грамотности по программе "Финансовая грамотность" (учебная программа для детских домов и интернатов, Е.А. Абросимова, </w:t>
      </w:r>
      <w:proofErr w:type="spellStart"/>
      <w:r>
        <w:t>д.ю.н</w:t>
      </w:r>
      <w:proofErr w:type="spellEnd"/>
      <w:r>
        <w:t>., доцент МГУ им. М.В. Ломоносова).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Для выпускников организаций для детей-сирот организованы занятия по повышению финансовой грамотности в рамках обучения по региональной дополнительной общеобразовательной программе социальной адаптации выпускников организаций для детей-сирот и детей, оставшихся без попечения родителей, к самостоятельной жизни. На занятиях рассматриваются вопросы семейного бюджета, содержания жилых помещений и рациональной траты финансовых средств. В 2022 - 2023 годах по программе обучено более 100 выпускников.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22 организациях социального обслуживания населения Ивановской области функционируют Школы безопасности для пожилых людей, в которых для граждан на регулярной основе проводятся занятия по курсу "Повышение финансовой грамотности". Финансовое просвещение пожилых людей осуществляется с участием сотрудников отделов пропаганды УМВД России по Ивановской области, Ивановской региональной общественной организации "Общество защиты прав потребителей", а также кредитных организаций.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На занятиях по повышению финансовой грамотности с пожилыми людьми рассматриваются вопросы планирования бюджета, эффективного использования финансовых средств и оплаты жилищно-коммунальных услуг, а также вопросы защиты от мошенничества при пользовании финансовыми услугами, при участии в сетевых маркетинговых пирамидах, совершении электронных платежей, сделках купли-продажи недвижимого имущества и другие. Ежегодно обучение в Школах безопасности проходит более 5 тыс. человек старшего возраста. На курсах финансовой грамотности занимается 1,5 тыс. человек.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организациях отдыха детей и их оздоровления сезонного или круглогодичного действия ежегодно проводится более 50 мероприятий (бесед, игр, викторин), направленных на повышение финансовой грамотности, с участием более 9 тыс. детей.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рамках соглашения о сотрудничестве, заключенного между Правительством Ивановской области и Министерством финансов Российской Федерации, осуществляется обучение педагогов образовательных организаций, педагогов организаций для детей-сирот и детей, оставшихся без попечения родителей, по программе повышения квалификации "Содержание и методика преподавания курса финансовой грамотности".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Обучение организовано на базе Ивановского филиала ФГБОУ ВО "Российская академия народного хозяйства и государственной службы при Президенте Российской Федерации" (РАНХиГС) на безвозмездной основе.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2022 - 2023 годах по данной программе прошли обучение 255 педагогов образовательных организаций Ивановской области.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регионе сформирован комплекс ежегодных мероприятий, направленных на формирование у населения финансовой грамотности, включающий в себя Областной конкурс педагогического мастерства "Методические разработки, направленные на повышение финансовой грамотности учащихся образовательных организаций", Региональный Фестиваль финансовой грамотности, Всероссийский урок по Финансовой безопасности, региональный этап олимпиады "</w:t>
      </w:r>
      <w:proofErr w:type="spellStart"/>
      <w:r>
        <w:t>Финатлон</w:t>
      </w:r>
      <w:proofErr w:type="spellEnd"/>
      <w:r>
        <w:t xml:space="preserve"> для старшеклассников".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lastRenderedPageBreak/>
        <w:t>При поддержке Отделения по Ивановской области Главного управления Центрального банка Российской Федерации по Центральному федеральному округу в регионе организуются мероприятия Всероссийской недели финансовой грамотности для детей и молодежи, Всероссийской недели сбережений, Недели финансовой грамотности в регионах России, Всемирного дня защиты прав потребителей, Дня рубля.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Центром "Мой бизнес" реализуются обучающие программы "Школа предпринимательства" и "Азбука предпринимательства".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центров занятости населения, охваченных мероприятиями по финансовой грамотности, составила 100%.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Общая численность участников мероприятий, включая обучающие занятия в образовательных организациях, в 2023 году составила 112,7 тыс. человек.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Эффективность реализуемых мероприятий подтверждается независимыми измерениями уровня финансовой грамотности обучающихся.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В 2023 году 24,3 тыс. человек (в 2022 году - 20,1 тыс. человек) из 236 школ и 8 колледжей Ивановской области приняли участие в олимпиаде "Финансовая грамотность и предпринимательство" для учеников 1 - 9 классов на платформе </w:t>
      </w:r>
      <w:proofErr w:type="spellStart"/>
      <w:r>
        <w:t>Учи.ру</w:t>
      </w:r>
      <w:proofErr w:type="spellEnd"/>
      <w:r>
        <w:t>, из них 11,9 тыс. человек получили статус победителя (в 2022 году - 8,8 тыс. человек).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Во Всероссийском онлайн-зачете по финансовой грамотности, организованном Банком России и Агентством стратегических инициатив в 2023 году, приняли участие 9941 человек (1,09% от населения региона), из них 8016 человек (80,64%) успешно прошли испытание. В 2022 году - количество участников онлайн-зачета составило 3937 человек (0,4% от населения региона), из них успешно справились с заданиями 3443 человека (87%).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Таким образом, за период реализации региональной программы 2022 - 2023 годов удалось добиться заметных успехов в сфере повышения финансовой грамотности.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Вместе с тем согласно </w:t>
      </w:r>
      <w:hyperlink r:id="rId7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N 2958-р, имеющиеся данные всероссийских исследований свидетельствуют о недостаточном формировании устойчивых моделей финансового поведения.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Значительное количество граждан не строит долгосрочные планы, не формирует сбережения в значимых объемах. Отмечается низкое участие граждан в бюджетном процессе, практиках инициативного бюджетирования.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Необходимы повышение информированности граждан об инструментах финансового рынка и формирование навыков осознанного (рационального) выбора этих инструментов.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Недостаточный уровень осведомленности, финансовой дисциплины и ответственности влечет за собой риски, связанные с самостоятельным выбором гражданами различных финансовых услуг и финансовых инструментов и пользованием ими.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Прокуратура Ивановской области со ссылкой на данные правоохранительных органов сообщает о резком росте в регионе случаев телефонного мошенничества и мошенничества с использованием различных сайтов в информационно-телекоммуникационной сети Интернет. В 2023 году правоохранительными органами области зарегистрировано 1651 преступление данной категории (в 2022 году - 1101).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Данные факторы указывают на необходимость увеличения количества мероприятий по финансовому просвещению, ориентированных на взрослое население области.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lastRenderedPageBreak/>
        <w:t>Разработка и утверждение настоящей Программы являются актуальной и необходимой мерой для стимулирования экономически рационального поведения населения и, как следствие, повышения качества его жизни. Реализация настоящей Программы позволит потребителям финансовых услуг получить необходимые знания, повысить доверие к финансовой системе, снизить свои финансовые риски и улучшить благосостояние.</w:t>
      </w: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Title"/>
        <w:jc w:val="center"/>
        <w:outlineLvl w:val="1"/>
      </w:pPr>
      <w:r>
        <w:t>3. Цели, задачи, основные ожидаемые результаты Программы,</w:t>
      </w:r>
    </w:p>
    <w:p w:rsidR="00C56B49" w:rsidRDefault="00C56B49">
      <w:pPr>
        <w:pStyle w:val="ConsPlusTitle"/>
        <w:jc w:val="center"/>
      </w:pPr>
      <w:r>
        <w:t>сроки ее реализации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  <w:r>
        <w:t>Целью Программы является увеличение количества граждан, обладающих ключевыми элементами финансовой культуры (ценностей, установок и поведенческих практик), содействие финансовому благополучию гражданина, семьи и общества через формирование компетенций по финансовой грамотности, расширение практических навыков и опыта принятия финансовых решений.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Для реализации поставленной цели в рамках Программы необходимо решение следующих задач: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продвижение ценностей и формирование установок финансовой культуры среди взрослых экономически активных граждан в целях выработки осознанных и рациональных поведенческих практик;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сохранение и развитие накопленного опыта в рамках системы образования по повышению финансовой грамотности детей и молодежи, дополнение образовательных программ элементами финансовой культуры;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использование различных каналов коммуникаций по актуальным вопросам финансовой грамотности и финансовой культуры в целях формирования и закрепления навыков осознанного финансового поведения граждан;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ведение целевой информационно-просветительской деятельности в отношении отдельных групп граждан;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расширение положительного опыта использования гражданами финансовых продуктов и услуг, сопровождаемое экспертизой со стороны государства и гражданского общества качества и потребительской ценности предлагаемых на рынке финансовых продуктов и услуг;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формирование доверительного отношения граждан к финансовому рынку и финансовым институтам;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обеспечение финансовой безопасности, в том числе финансовой кибербезопасности, путем формирования у граждан навыков, установок и поведенческих практик для защиты от возможных рисков в финансовой сфере, эффективного противодействия нелегальной деятельности на финансовом рынке и мошенничеству;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обеспечение подготовки кадров в сфере финансовой грамотности;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обеспечение регулярного мониторинга состояния финансовой грамотности и финансовой культуры в регионе.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процессе реализации Программы предусмотрено содействие внедрению образовательных, информационных и других продуктов, созданных в том числе в других регионах.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В рамках реализации Программы будут продолжены разработка и внедрение в учебный процесс образовательных программ повышения финансовой грамотности для различных целевых групп населения, в том числе для учащихся, студентов, взрослого населения, направленных на </w:t>
      </w:r>
      <w:r>
        <w:lastRenderedPageBreak/>
        <w:t>развитие базовых знаний и умений в области финансовой грамотности и защиты прав потребителей финансовых услуг. Подготовка педагогов области по указанным образовательным программам позволит внедрить их в работу образовательных организаций на всей территории региона, проводить обучение как в годы реализации Программы, так и после ее завершения.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В работе со всеми целевыми группами Программы особое внимание будет уделено вопросам важности оценки своих финансовых возможностей при получении кредита, недопущения избыточного долга по кредитам и займам, снижения просроченной задолженности по финансовым обязательствам, создания запаса средств на случай чрезвычайных и кризисных жизненных ситуаций, оперативного и справедливого разрешения финансовых споров и возможности отстоять свои права на финансовых рынках, использования государственных инструментов, защиты имущественных интересов граждан посредством страхования, повышения </w:t>
      </w:r>
      <w:proofErr w:type="spellStart"/>
      <w:r>
        <w:t>киберграмотности</w:t>
      </w:r>
      <w:proofErr w:type="spellEnd"/>
      <w:r>
        <w:t xml:space="preserve"> населения, увеличения доверия граждан к уровню безопасности финансовых организаций, обеспечения достойного финансового дохода после выхода на пенсию.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Целевыми (контрольными) показателями реализации Программы являются: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обучающихся в общеобразовательных организациях,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обучающихся в профессиональных образовательных организациях,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среднего профессионального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образовательных организаций высшего образования, осуществляющих деятельность на территории Ивановской области, которые обеспечили включение элементов финансовой грамотности в образовательные программы высшего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обучающихся в образовательных организациях высшего образования,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высшего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количество педагогических работников в Ивановской области, освоивших дополнительные профессиональные программы повышения квалификации по тематике финансовой грамотности;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обучающихся образовательных организаций Ивановской области, принявших участие во всероссийских и региональных олимпиадах и конкурсах по финансовой грамотности;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доля жителей Ивановской области, принявших участие во Всероссийском онлайн-зачете по финансовой грамотности, от общей численности населения региона.</w:t>
      </w:r>
    </w:p>
    <w:p w:rsidR="00C56B49" w:rsidRDefault="00C56B49">
      <w:pPr>
        <w:pStyle w:val="ConsPlusNormal"/>
        <w:spacing w:before="220"/>
        <w:ind w:firstLine="540"/>
        <w:jc w:val="both"/>
      </w:pPr>
      <w:hyperlink w:anchor="P196">
        <w:r>
          <w:rPr>
            <w:color w:val="0000FF"/>
          </w:rPr>
          <w:t>Сведения</w:t>
        </w:r>
      </w:hyperlink>
      <w:r>
        <w:t xml:space="preserve"> о целевых (контрольных) показателях реализации Программы и их значениях приведены в приложении 1 к Программе.</w:t>
      </w: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Title"/>
        <w:jc w:val="center"/>
        <w:outlineLvl w:val="1"/>
      </w:pPr>
      <w:r>
        <w:t>4. Обобщенная характеристика мероприятий Программы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  <w:r>
        <w:t xml:space="preserve">Программой предусмотрен </w:t>
      </w:r>
      <w:hyperlink w:anchor="P285">
        <w:r>
          <w:rPr>
            <w:color w:val="0000FF"/>
          </w:rPr>
          <w:t>План</w:t>
        </w:r>
      </w:hyperlink>
      <w:r>
        <w:t xml:space="preserve"> реализации мероприятий программы (приложение 2 к Программе).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В целях создания потенциала в области повышения финансовой грамотности населения предполагается взаимодействие органов исполнительной власти области с образовательными учреждениями высшего образования, федеральными органами исполнительной власти, </w:t>
      </w:r>
      <w:r>
        <w:lastRenderedPageBreak/>
        <w:t>финансовыми и другими заинтересованными организациями в части подготовки и проведения мероприятий, направленных на повышение финансовой грамотности, формирование финансовой культуры.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Программой предусматривается информирование отдельных групп населения - получателей социальных услуг по базовым вопросам финансовой грамотности, в том числе с привлечением социальных работников.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Основные направления межведомственного взаимодействия: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актуализация образовательных программ в области финансовой грамотности в региональной системе образования;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содействие проведению в регионе мероприятий по выявлению одаренных и талантливых детей и молодежи в области финансовой грамотности, в том числе проведению и поддержке олимпиад и иных видов тематических соревнований;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проведение межведомственных просветительских мероприятий на региональном и муниципальном уровнях.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Обучающиеся школьного возраста, а также студенты системы среднего профессионального и высшего образования области рассматриваются как наиболее массовая целевая группа Программы ввиду того, что в среднесрочной перспективе они станут экономически активными, столкнутся с проблемой принятия решений в области личных финансов и с личной ответственностью за результаты принятых решений. Данная целевая группа должна быть наиболее подготовлена к грамотному и эффективному финансовому поведению на рынке, управлению личными финансами, свободно ориентироваться в широком спектре финансовых услуг с минимальными рисками финансовых потерь.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Вместе с тем планируется увеличение количества мероприятий, направленных на аудиторию взрослого экономически активного населения.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В целях своевременной актуализации образовательных программ по финансовой грамотности в период реализации Программы на базе ФГБОУ ВО "Российская академия народного хозяйства и государственной службы при Президенте Российской Федерации", ФГБОУ ВО "Ивановский государственный университет", ГАУДПО ИО "Университет непрерывного образования и инноваций" будет продолжена реализация дополнительных профессиональных программ повышения квалификации педагогических работников образовательных организаций региона по тематике финансовой грамотности.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Спектр планируемых к реализации дополнительных профессиональных программ повышения квалификации позволит совершенствовать предметную, психолого-педагогическую и методическую компетенции педагогических работников, реализующих образовательные курсы и программы внеурочной деятельности по финансовой грамотности.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 xml:space="preserve">Адресные дополнительные профессиональные программы рассчитаны на различные целевые аудитории педагогических работников: воспитателей дошкольных образовательных организаций, учителей начальных классов общеобразовательных организаций, педагогических работников основного общего и среднего общего образования (классных руководителей, советников по воспитательной работе, учителей истории, обществознания, экономики, математики, информатики, географии, технологии, основ безопасности жизнедеятельности), педагогических работников организаций дополнительного образования, преподавателей профессиональных образовательных организаций, а также педагогических работников и воспитателей организаций, осуществляющих образовательную деятельность для детей-сирот и детей, оставшихся без попечения родителей. Для названных категорий педагогических работников будут реализовываться как специализированные дополнительные профессиональные программы </w:t>
      </w:r>
      <w:r>
        <w:lastRenderedPageBreak/>
        <w:t>повышения квалификации (далее - ДПП ПК), так и модули по финансовой грамотности в рамках освоения ДПП ПК по профилю деятельности.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С целью формирования условий для внедрения образовательных курсов по финансовой грамотности Программой предусматриваются обеспечение образовательных организаций учебно-методическими и информационными материалами, разработанными на федеральном уровне, а также оказание постоянной методической поддержки специалистов в сфере образования по вопросам формирования и повышения финансовой грамотности различных категорий обучающихся.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Особое внимание в Программе уделяется работе по вовлечению талантливых обучающихся всех уровней образования в олимпиадное и конкурсное движение, в том числе планируется участие обучающихся региона во Всероссийской олимпиаде по финансовой грамотности, финансовому рынку и защите прав потребителей финансовых услуг.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Программа предусматривает охват субъектов малого и среднего предпринимательства мероприятиями по повышению финансовой грамотности, в том числе через информационно-консультационную поддержку, семинары, конференции.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Программа включает мероприятия по пропаганде ответственного финансового поведения посредством оформления информационных стендов и баннеров для потребителей финансовых услуг, распространения разработанных Банком России и Роспотребнадзором памяток, пособий, иных материалов по вопросам финансовой грамотности. Особое значение имеет увеличение количества граждан с низким и средним уровнем дохода, охваченного консультационной поддержкой по вопросам финансовой грамотности и защиты прав потребителей финансовых услуг, в том числе на базе центров занятости населения области.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Значительная часть мероприятий Программы направлена на повышение финансовой безопасности целевой группы населения, испытывающей трудности при реализации своих прав на финансовое образование и их защиту: граждан пенсионного и предпенсионного возраста, лиц с ограниченными возможностями здоровья, детей-сирот и детей, оставшихся без попечения родителей, несовершеннолетних и их родителей (законных представителей), находящихся в трудной жизненной ситуации и проходящих реабилитацию в учреждениях социального обслуживания семей и детей.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Title"/>
        <w:jc w:val="center"/>
        <w:outlineLvl w:val="1"/>
      </w:pPr>
      <w:r>
        <w:t>5. Система управления реализацией Программы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  <w:r>
        <w:t xml:space="preserve">Программа разработана в рамках реализации </w:t>
      </w:r>
      <w:hyperlink r:id="rId8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 формирования финансовой культуры до 2030 года, утвержденной распоряжением Правительства Российской Федерации от 24.10.2023 N 2958-р.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Мероприятия, предусмотренные Программой, будут реализовываться на территории области.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Общий контроль за реализацией Программы осуществляется Департаментом образования и науки Ивановской области.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Исполнители Программы в целях достижения целевых (контрольных) показателей реализации мероприятий Программы: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обеспечивают разработку нормативных правовых актов области, планов, необходимых для реализации мероприятий Программы;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обеспечивают взаимодействие с федеральными органами государственной власти, а также с организациями, осуществляющими реализацию мероприятий Программы;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lastRenderedPageBreak/>
        <w:t>организуют работу по реализации Программы в структурных подразделениях и уполномоченных подведомственных учреждениях и обеспечивают взаимодействие с заинтересованными органами исполнительной власти области по вопросам реализации Программы;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проводят (при необходимости) рабочие совещания по решению тактических задач и текущему выполнению мероприятий.</w:t>
      </w:r>
    </w:p>
    <w:p w:rsidR="00C56B49" w:rsidRDefault="00C56B49">
      <w:pPr>
        <w:pStyle w:val="ConsPlusNormal"/>
        <w:spacing w:before="220"/>
        <w:ind w:firstLine="540"/>
        <w:jc w:val="both"/>
      </w:pPr>
      <w:hyperlink w:anchor="P382">
        <w:r>
          <w:rPr>
            <w:color w:val="0000FF"/>
          </w:rPr>
          <w:t>Отчет</w:t>
        </w:r>
      </w:hyperlink>
      <w:r>
        <w:t xml:space="preserve"> об исполнении мероприятий по итогам года (приложение 3 к Программе) исполнители Программы представляют в Департамент образования и науки Ивановской области до 20 января года, следующего за отчетным годом.</w:t>
      </w:r>
    </w:p>
    <w:p w:rsidR="00C56B49" w:rsidRDefault="00C56B49">
      <w:pPr>
        <w:pStyle w:val="ConsPlusNormal"/>
        <w:spacing w:before="220"/>
        <w:ind w:firstLine="540"/>
        <w:jc w:val="both"/>
      </w:pPr>
      <w:r>
        <w:t>Департамент образования и науки Ивановской области координирует и контролирует выполнение мероприятий Программы.</w:t>
      </w: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Normal"/>
        <w:jc w:val="center"/>
      </w:pPr>
    </w:p>
    <w:p w:rsidR="00C56B49" w:rsidRDefault="00C56B49">
      <w:pPr>
        <w:pStyle w:val="ConsPlusNormal"/>
        <w:jc w:val="right"/>
        <w:outlineLvl w:val="1"/>
      </w:pPr>
      <w:r>
        <w:t>Приложение 1</w:t>
      </w:r>
    </w:p>
    <w:p w:rsidR="00C56B49" w:rsidRDefault="00C56B49">
      <w:pPr>
        <w:pStyle w:val="ConsPlusNormal"/>
        <w:jc w:val="right"/>
      </w:pPr>
      <w:r>
        <w:t>к региональной программе</w:t>
      </w:r>
    </w:p>
    <w:p w:rsidR="00C56B49" w:rsidRDefault="00C56B49">
      <w:pPr>
        <w:pStyle w:val="ConsPlusNormal"/>
        <w:jc w:val="right"/>
      </w:pPr>
      <w:r>
        <w:t>"Повышение уровня финансовой грамотности населения</w:t>
      </w:r>
    </w:p>
    <w:p w:rsidR="00C56B49" w:rsidRDefault="00C56B49">
      <w:pPr>
        <w:pStyle w:val="ConsPlusNormal"/>
        <w:jc w:val="right"/>
      </w:pPr>
      <w:r>
        <w:t>Ивановской области на 2025 - 2030 годы"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Title"/>
        <w:jc w:val="center"/>
      </w:pPr>
      <w:bookmarkStart w:id="1" w:name="P196"/>
      <w:bookmarkEnd w:id="1"/>
      <w:r>
        <w:t>Сведения</w:t>
      </w:r>
    </w:p>
    <w:p w:rsidR="00C56B49" w:rsidRDefault="00C56B49">
      <w:pPr>
        <w:pStyle w:val="ConsPlusTitle"/>
        <w:jc w:val="center"/>
      </w:pPr>
      <w:r>
        <w:t>о целевых (контрольных) показателях реализации региональной</w:t>
      </w:r>
    </w:p>
    <w:p w:rsidR="00C56B49" w:rsidRDefault="00C56B49">
      <w:pPr>
        <w:pStyle w:val="ConsPlusTitle"/>
        <w:jc w:val="center"/>
      </w:pPr>
      <w:r>
        <w:t>программы Ивановской области "Повышение уровня финансовой</w:t>
      </w:r>
    </w:p>
    <w:p w:rsidR="00C56B49" w:rsidRDefault="00C56B49">
      <w:pPr>
        <w:pStyle w:val="ConsPlusTitle"/>
        <w:jc w:val="center"/>
      </w:pPr>
      <w:r>
        <w:t>грамотности населения Ивановской области</w:t>
      </w:r>
    </w:p>
    <w:p w:rsidR="00C56B49" w:rsidRDefault="00C56B49">
      <w:pPr>
        <w:pStyle w:val="ConsPlusTitle"/>
        <w:jc w:val="center"/>
      </w:pPr>
      <w:r>
        <w:t>на 2025 - 2030 годы" и их значениях</w:t>
      </w:r>
    </w:p>
    <w:p w:rsidR="00C56B49" w:rsidRDefault="00C56B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247"/>
        <w:gridCol w:w="729"/>
        <w:gridCol w:w="729"/>
        <w:gridCol w:w="729"/>
        <w:gridCol w:w="729"/>
        <w:gridCol w:w="729"/>
        <w:gridCol w:w="734"/>
      </w:tblGrid>
      <w:tr w:rsidR="00C56B49">
        <w:tc>
          <w:tcPr>
            <w:tcW w:w="3401" w:type="dxa"/>
            <w:vMerge w:val="restart"/>
          </w:tcPr>
          <w:p w:rsidR="00C56B49" w:rsidRDefault="00C56B49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247" w:type="dxa"/>
            <w:vMerge w:val="restart"/>
          </w:tcPr>
          <w:p w:rsidR="00C56B49" w:rsidRDefault="00C56B4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79" w:type="dxa"/>
            <w:gridSpan w:val="6"/>
          </w:tcPr>
          <w:p w:rsidR="00C56B49" w:rsidRDefault="00C56B49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C56B49">
        <w:tc>
          <w:tcPr>
            <w:tcW w:w="3401" w:type="dxa"/>
            <w:vMerge/>
          </w:tcPr>
          <w:p w:rsidR="00C56B49" w:rsidRDefault="00C56B49">
            <w:pPr>
              <w:pStyle w:val="ConsPlusNormal"/>
            </w:pPr>
          </w:p>
        </w:tc>
        <w:tc>
          <w:tcPr>
            <w:tcW w:w="1247" w:type="dxa"/>
            <w:vMerge/>
          </w:tcPr>
          <w:p w:rsidR="00C56B49" w:rsidRDefault="00C56B49">
            <w:pPr>
              <w:pStyle w:val="ConsPlusNormal"/>
            </w:pP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2030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8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>1. Доля обучающихся в общеобразовательных организациях,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 xml:space="preserve">2. Доля обучающихся в профессиональных образовательных организациях, осуществляющих деятельность на </w:t>
            </w:r>
            <w:r>
              <w:lastRenderedPageBreak/>
              <w:t>территории Ивановской области, которые освоили элементы финансовой грамотности в рамках обучения по образовательным программам среднего профессионального образования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>%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>3. Доля образовательных организаций высшего образования, осуществляющих деятельность на территории Ивановской области, которые обеспечили включение элементов финансовой грамотности в образовательные программы высшего образования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>4. Доля обучающихся в образовательных организациях высшего образования, осуществляющих деятельность на территории Ивановской области, которые освоили элементы финансовой грамотности в рамках обучения по образовательным программам высшего образования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>5. Количество педагогических работников в Ивановской области, освоивших дополнительные профессиональные программы повышения квалификации по тематике финансовой грамотности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t>чел.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100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>6. Доля обучающихся образовательных организаций Ивановской области, принявших участие во всероссийских и региональных олимпиадах и конкурсах по финансовой грамотности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25</w:t>
            </w:r>
          </w:p>
        </w:tc>
      </w:tr>
      <w:tr w:rsidR="00C56B49">
        <w:tc>
          <w:tcPr>
            <w:tcW w:w="3401" w:type="dxa"/>
          </w:tcPr>
          <w:p w:rsidR="00C56B49" w:rsidRDefault="00C56B49">
            <w:pPr>
              <w:pStyle w:val="ConsPlusNormal"/>
              <w:jc w:val="both"/>
            </w:pPr>
            <w:r>
              <w:t>7. Доля жителей Ивановской области, принявших участие во Всероссийском онлайн-зачете по финансовой грамотности, от общей численности населения региона</w:t>
            </w:r>
          </w:p>
        </w:tc>
        <w:tc>
          <w:tcPr>
            <w:tcW w:w="1247" w:type="dxa"/>
          </w:tcPr>
          <w:p w:rsidR="00C56B49" w:rsidRDefault="00C56B49">
            <w:pPr>
              <w:pStyle w:val="ConsPlusNormal"/>
              <w:jc w:val="both"/>
            </w:pPr>
            <w:r>
              <w:t>%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1,15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1,30</w:t>
            </w:r>
          </w:p>
        </w:tc>
        <w:tc>
          <w:tcPr>
            <w:tcW w:w="729" w:type="dxa"/>
          </w:tcPr>
          <w:p w:rsidR="00C56B49" w:rsidRDefault="00C56B4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734" w:type="dxa"/>
          </w:tcPr>
          <w:p w:rsidR="00C56B49" w:rsidRDefault="00C56B49">
            <w:pPr>
              <w:pStyle w:val="ConsPlusNormal"/>
              <w:jc w:val="center"/>
            </w:pPr>
            <w:r>
              <w:t>1,40</w:t>
            </w:r>
          </w:p>
        </w:tc>
      </w:tr>
    </w:tbl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jc w:val="right"/>
        <w:outlineLvl w:val="1"/>
      </w:pPr>
      <w:r>
        <w:lastRenderedPageBreak/>
        <w:t>Приложение 2</w:t>
      </w:r>
    </w:p>
    <w:p w:rsidR="00C56B49" w:rsidRDefault="00C56B49">
      <w:pPr>
        <w:pStyle w:val="ConsPlusNormal"/>
        <w:jc w:val="right"/>
      </w:pPr>
      <w:r>
        <w:t>к региональной программе</w:t>
      </w:r>
    </w:p>
    <w:p w:rsidR="00C56B49" w:rsidRDefault="00C56B49">
      <w:pPr>
        <w:pStyle w:val="ConsPlusNormal"/>
        <w:jc w:val="right"/>
      </w:pPr>
      <w:r>
        <w:t>"Повышение уровня финансовой грамотности населения</w:t>
      </w:r>
    </w:p>
    <w:p w:rsidR="00C56B49" w:rsidRDefault="00C56B49">
      <w:pPr>
        <w:pStyle w:val="ConsPlusNormal"/>
        <w:jc w:val="right"/>
      </w:pPr>
      <w:r>
        <w:t>Ивановской области на 2025 - 2030 годы"</w:t>
      </w:r>
    </w:p>
    <w:p w:rsidR="00C56B49" w:rsidRDefault="00C56B49">
      <w:pPr>
        <w:pStyle w:val="ConsPlusNormal"/>
        <w:jc w:val="right"/>
      </w:pPr>
    </w:p>
    <w:p w:rsidR="00C56B49" w:rsidRDefault="00C56B49">
      <w:pPr>
        <w:pStyle w:val="ConsPlusTitle"/>
        <w:jc w:val="center"/>
      </w:pPr>
      <w:bookmarkStart w:id="2" w:name="P285"/>
      <w:bookmarkEnd w:id="2"/>
      <w:r>
        <w:t>План</w:t>
      </w:r>
    </w:p>
    <w:p w:rsidR="00C56B49" w:rsidRDefault="00C56B49">
      <w:pPr>
        <w:pStyle w:val="ConsPlusTitle"/>
        <w:jc w:val="center"/>
      </w:pPr>
      <w:r>
        <w:t>реализации мероприятий региональной программы Ивановской</w:t>
      </w:r>
    </w:p>
    <w:p w:rsidR="00C56B49" w:rsidRDefault="00C56B49">
      <w:pPr>
        <w:pStyle w:val="ConsPlusTitle"/>
        <w:jc w:val="center"/>
      </w:pPr>
      <w:r>
        <w:t>области "Повышение уровня финансовой грамотности населения</w:t>
      </w:r>
    </w:p>
    <w:p w:rsidR="00C56B49" w:rsidRDefault="00C56B49">
      <w:pPr>
        <w:pStyle w:val="ConsPlusTitle"/>
        <w:jc w:val="center"/>
      </w:pPr>
      <w:r>
        <w:t>Ивановской области на 2025 - 2030 годы"</w:t>
      </w:r>
    </w:p>
    <w:p w:rsidR="00C56B49" w:rsidRDefault="00C56B4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798"/>
        <w:gridCol w:w="3118"/>
        <w:gridCol w:w="1587"/>
      </w:tblGrid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center"/>
            </w:pPr>
            <w:r>
              <w:t>Срок реализации</w:t>
            </w:r>
          </w:p>
        </w:tc>
      </w:tr>
      <w:tr w:rsidR="00C56B49">
        <w:tc>
          <w:tcPr>
            <w:tcW w:w="9069" w:type="dxa"/>
            <w:gridSpan w:val="4"/>
          </w:tcPr>
          <w:p w:rsidR="00C56B49" w:rsidRDefault="00C56B49">
            <w:pPr>
              <w:pStyle w:val="ConsPlusNormal"/>
              <w:jc w:val="center"/>
              <w:outlineLvl w:val="2"/>
            </w:pPr>
            <w:r>
              <w:t>1. Мониторинг и оценка уровня финансовой грамотности и финансового поведения населения региона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Мониторинг охвата различных социальных групп населения мероприятиями в области финансовой грамотности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образования и науки Ивановской области (далее - Департамент образования)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Проведение тестирования знаний обучающихся в сфере финансовой грамотности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 xml:space="preserve">Образовательные организации (в рамках олимпиады по финансовой грамотности на портале </w:t>
            </w:r>
            <w:proofErr w:type="spellStart"/>
            <w:r>
              <w:t>Учи.ру</w:t>
            </w:r>
            <w:proofErr w:type="spellEnd"/>
            <w:r>
              <w:t>)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9069" w:type="dxa"/>
            <w:gridSpan w:val="4"/>
          </w:tcPr>
          <w:p w:rsidR="00C56B49" w:rsidRDefault="00C56B49">
            <w:pPr>
              <w:pStyle w:val="ConsPlusNormal"/>
              <w:jc w:val="center"/>
              <w:outlineLvl w:val="2"/>
            </w:pPr>
            <w:r>
              <w:t>2. Создание институционального и кадрового потенциала в области повышения финансовой грамотности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Организация повышения квалификации педагогов общеобразовательных организаций по направлению "Финансовая грамотность"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Ивановский филиал РАНХиГС (далее - РАНХиГС)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ежегодно, по отдельному графику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Повышение квалификации по вопросам финансовой грамотности для педагогов учреждений профессионального образования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РАНХиГС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ежегодно, по отдельному графику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Оказание методической поддержки педагогическим работникам муниципальных и государственных общеобразовательных организаций, организаций дошкольного образования, профессиональных образовательных организаций, в том числе посредством организации семинаров, круглых столов по обмену опытом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Государственное автономное учреждение дополнительного профессионального образования Ивановской области "Университет непрерывного образования и инноваций"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ежегодно, по отдельному графику</w:t>
            </w:r>
          </w:p>
        </w:tc>
      </w:tr>
      <w:tr w:rsidR="00C56B49">
        <w:tc>
          <w:tcPr>
            <w:tcW w:w="9069" w:type="dxa"/>
            <w:gridSpan w:val="4"/>
          </w:tcPr>
          <w:p w:rsidR="00C56B49" w:rsidRDefault="00C56B49">
            <w:pPr>
              <w:pStyle w:val="ConsPlusNormal"/>
              <w:jc w:val="center"/>
              <w:outlineLvl w:val="2"/>
            </w:pPr>
            <w:r>
              <w:t>3. Реализация образовательных программ по повышению финансовой грамотности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 xml:space="preserve">Реализация образовательных программ в области финансовой </w:t>
            </w:r>
            <w:r>
              <w:lastRenderedPageBreak/>
              <w:t>грамотности для обучающихся общеобразовательных организаций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 xml:space="preserve">Департамент образования, муниципальные органы </w:t>
            </w:r>
            <w:r>
              <w:lastRenderedPageBreak/>
              <w:t>управления образованием (далее - МОУО)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 xml:space="preserve">ежегодно, в течение </w:t>
            </w:r>
            <w:r>
              <w:lastRenderedPageBreak/>
              <w:t>учебного года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Реализация образовательных программ в области финансовой грамотности для студентов профессиональных образовательных организаций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образования, Департамент культуры Ивановской области (далее - Департамент культуры), Департамент здравоохранения Ивановской области (далее - Департамент здравоохранения)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ежегодно, в течение учебного года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Организация работы студенческих волонтерских объединений финансового просвещения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ФГБОУ ВО "Ивановский государственный университет",</w:t>
            </w:r>
          </w:p>
          <w:p w:rsidR="00C56B49" w:rsidRDefault="00C56B49">
            <w:pPr>
              <w:pStyle w:val="ConsPlusNormal"/>
              <w:jc w:val="both"/>
            </w:pPr>
            <w:r>
              <w:t>ФГБОУ ВО "Ивановский государственный химико-технологический университет",</w:t>
            </w:r>
          </w:p>
          <w:p w:rsidR="00C56B49" w:rsidRDefault="00C56B49">
            <w:pPr>
              <w:pStyle w:val="ConsPlusNormal"/>
              <w:jc w:val="both"/>
            </w:pPr>
            <w:r>
              <w:t>РАНХиГС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Организация занятий по повышению финансовой грамотности воспитанников образовательных учреждений для детей-сирот и детей, оставшихся без попечения родителей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социальной защиты населения Ивановской области (далее - Департамент социальной защиты населения), Отделение по Ивановской области Главного управления Центрального банка Российской Федерации по Центральному федеральному округу (далее - Банк России)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Организация курсов повышения финансовой грамотности граждан пожилого возраста и инвалидов на базе организаций социального обслуживания Ивановской области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социальной защиты населения, Банк России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Проведение тематических занятий по финансовой грамотности в организациях отдыха детей и их оздоровления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социальной защиты населения, Банк России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 в соответствии с планами работы организаций отдыха детей и их оздоровления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3.7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Проведение внеклассных просветительских мероприятий для обучающихся общеобразовательных организаций и студентов профессиональных образовательных организаций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образования, Департамент культуры, Департамент здравоохранения, Банк России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3.8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 xml:space="preserve">Проведение просветительских </w:t>
            </w:r>
            <w:r>
              <w:lastRenderedPageBreak/>
              <w:t>мероприятий, направленных на повышение финансовой грамотности взрослых граждан, не относящихся к категории обучающихся, и лиц пенсионного возраста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>Банк России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3.9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Организация участия учащихся общеобразовательных организаций, профессиональных образовательных организаций в онлайн-уроках Банка России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образования, Банк России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9069" w:type="dxa"/>
            <w:gridSpan w:val="4"/>
          </w:tcPr>
          <w:p w:rsidR="00C56B49" w:rsidRDefault="00C56B49">
            <w:pPr>
              <w:pStyle w:val="ConsPlusNormal"/>
              <w:jc w:val="center"/>
              <w:outlineLvl w:val="2"/>
            </w:pPr>
            <w:r>
              <w:t>4. Реализация информационных кампаний по вопросам финансовой грамотности и защиты прав потребителей финансовых услуг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Размещение просветительских материалов по вопросам финансовой грамотности и защиты прав потребителей финансовых услуг в общедоступных местах, а также в СМИ регионального и муниципального уровней и информационно-телекоммуникационной сети Интернет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Банк России, Департамент образования, Департамент социальной защиты населения, Департамент экономического развития и торговли Ивановской области (далее - Департамент экономического развития и торговли), главы муниципальных образований и городских округов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Проведение Дня открытых дверей Банка России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Банк России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Предоставление консультаций о мерах государственной поддержки, предоставляемых субъектам малого и среднего предпринимательства, физическим лицам, планирующим начать предпринимательскую деятельность,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экономического развития и торговли, автономная некоммерческая организация "Центр развития предпринимательства и поддержки экспорта Ивановской области"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3798" w:type="dxa"/>
          </w:tcPr>
          <w:p w:rsidR="00C56B49" w:rsidRDefault="00C56B49">
            <w:pPr>
              <w:pStyle w:val="ConsPlusNormal"/>
              <w:jc w:val="both"/>
            </w:pPr>
            <w:r>
              <w:t>Обучающее мероприятие "Финансовое благополучие и разумное управление личным капиталом для субъектов малого и среднего предпринимательства Ивановской области и физических лиц, заинтересованных в начале осуществления предпринимательской деятельности"</w:t>
            </w:r>
          </w:p>
        </w:tc>
        <w:tc>
          <w:tcPr>
            <w:tcW w:w="3118" w:type="dxa"/>
          </w:tcPr>
          <w:p w:rsidR="00C56B49" w:rsidRDefault="00C56B49">
            <w:pPr>
              <w:pStyle w:val="ConsPlusNormal"/>
              <w:jc w:val="both"/>
            </w:pPr>
            <w:r>
              <w:t>Департамент экономического развития и торговли, автономная некоммерческая организация "Центр развития предпринимательства и поддержки экспорта Ивановской области"</w:t>
            </w:r>
          </w:p>
        </w:tc>
        <w:tc>
          <w:tcPr>
            <w:tcW w:w="1587" w:type="dxa"/>
          </w:tcPr>
          <w:p w:rsidR="00C56B49" w:rsidRDefault="00C56B49">
            <w:pPr>
              <w:pStyle w:val="ConsPlusNormal"/>
              <w:jc w:val="both"/>
            </w:pPr>
            <w:r>
              <w:t>ежегодно</w:t>
            </w:r>
          </w:p>
        </w:tc>
      </w:tr>
    </w:tbl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jc w:val="right"/>
        <w:outlineLvl w:val="1"/>
      </w:pPr>
      <w:r>
        <w:t>Приложение 3</w:t>
      </w:r>
    </w:p>
    <w:p w:rsidR="00C56B49" w:rsidRDefault="00C56B49">
      <w:pPr>
        <w:pStyle w:val="ConsPlusNormal"/>
        <w:jc w:val="right"/>
      </w:pPr>
      <w:r>
        <w:t>к региональной программе</w:t>
      </w:r>
    </w:p>
    <w:p w:rsidR="00C56B49" w:rsidRDefault="00C56B49">
      <w:pPr>
        <w:pStyle w:val="ConsPlusNormal"/>
        <w:jc w:val="right"/>
      </w:pPr>
      <w:r>
        <w:t>"Повышение уровня финансовой грамотности населения</w:t>
      </w:r>
    </w:p>
    <w:p w:rsidR="00C56B49" w:rsidRDefault="00C56B49">
      <w:pPr>
        <w:pStyle w:val="ConsPlusNormal"/>
        <w:jc w:val="right"/>
      </w:pPr>
      <w:r>
        <w:t>Ивановской области на 2025 - 2030 годы"</w:t>
      </w: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jc w:val="center"/>
      </w:pPr>
      <w:bookmarkStart w:id="3" w:name="P382"/>
      <w:bookmarkEnd w:id="3"/>
      <w:r>
        <w:t>Форма отчета</w:t>
      </w:r>
    </w:p>
    <w:p w:rsidR="00C56B49" w:rsidRDefault="00C56B49">
      <w:pPr>
        <w:pStyle w:val="ConsPlusNormal"/>
        <w:jc w:val="center"/>
      </w:pPr>
      <w:r>
        <w:t>об исполнении мероприятий региональной программы</w:t>
      </w:r>
    </w:p>
    <w:p w:rsidR="00C56B49" w:rsidRDefault="00C56B49">
      <w:pPr>
        <w:pStyle w:val="ConsPlusNormal"/>
        <w:jc w:val="center"/>
      </w:pPr>
      <w:r>
        <w:t>"Повышение уровня финансовой грамотности населения</w:t>
      </w:r>
    </w:p>
    <w:p w:rsidR="00C56B49" w:rsidRDefault="00C56B49">
      <w:pPr>
        <w:pStyle w:val="ConsPlusNormal"/>
        <w:jc w:val="center"/>
      </w:pPr>
      <w:r>
        <w:t>Ивановской области на 2025 - 2030 годы"</w:t>
      </w:r>
    </w:p>
    <w:p w:rsidR="00C56B49" w:rsidRDefault="00C56B49">
      <w:pPr>
        <w:pStyle w:val="ConsPlusNormal"/>
        <w:jc w:val="center"/>
      </w:pPr>
      <w:r>
        <w:t>на ______ год</w:t>
      </w:r>
    </w:p>
    <w:p w:rsidR="00C56B49" w:rsidRDefault="00C56B49">
      <w:pPr>
        <w:pStyle w:val="ConsPlusNormal"/>
        <w:jc w:val="center"/>
      </w:pPr>
      <w:r>
        <w:t>(указывается отчетный период)</w:t>
      </w:r>
    </w:p>
    <w:p w:rsidR="00C56B49" w:rsidRDefault="00C56B4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381"/>
        <w:gridCol w:w="1531"/>
        <w:gridCol w:w="1077"/>
        <w:gridCol w:w="475"/>
        <w:gridCol w:w="680"/>
        <w:gridCol w:w="1134"/>
        <w:gridCol w:w="1191"/>
      </w:tblGrid>
      <w:tr w:rsidR="00C56B49">
        <w:tc>
          <w:tcPr>
            <w:tcW w:w="9035" w:type="dxa"/>
            <w:gridSpan w:val="8"/>
          </w:tcPr>
          <w:p w:rsidR="00C56B49" w:rsidRDefault="00C56B49">
            <w:pPr>
              <w:pStyle w:val="ConsPlusNormal"/>
              <w:jc w:val="center"/>
            </w:pPr>
            <w:r>
              <w:t>I. Общие сведения о реализации стратегических документов в сфере финансовой грамотности субъектов Российской Федерации (включая государственные программы/региональные программы повышения финансовой грамотности населения (или региональные программы (подпрограммы/стратегические планы/дорожные карты) с иным наименованием, направленные на повышение финансовой грамотности населения и защиту прав потребителей финансовых услуг)</w:t>
            </w:r>
          </w:p>
          <w:p w:rsidR="00C56B49" w:rsidRDefault="00C56B49">
            <w:pPr>
              <w:pStyle w:val="ConsPlusNormal"/>
              <w:jc w:val="center"/>
            </w:pPr>
            <w:r>
              <w:t>(далее - Программа))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Наименование субъекта Российской Федерации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Наименование и реквизиты утверждения Программы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Наименование и реквизиты утверждения межведомственного координирующего органа управления реализацией Программы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Наименование регионального центра финансовой грамотности (при наличии)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Реквизиты регионального сайта по финансовой грамотности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Объемы финансового обеспечения реализации Программы (тыс. рублей)</w:t>
            </w:r>
          </w:p>
        </w:tc>
        <w:tc>
          <w:tcPr>
            <w:tcW w:w="1077" w:type="dxa"/>
          </w:tcPr>
          <w:p w:rsidR="00C56B49" w:rsidRDefault="00C56B49">
            <w:pPr>
              <w:pStyle w:val="ConsPlusNormal"/>
              <w:jc w:val="center"/>
            </w:pPr>
            <w:r>
              <w:t>Отчетный период t год</w:t>
            </w:r>
          </w:p>
        </w:tc>
        <w:tc>
          <w:tcPr>
            <w:tcW w:w="1155" w:type="dxa"/>
            <w:gridSpan w:val="2"/>
          </w:tcPr>
          <w:p w:rsidR="00C56B49" w:rsidRDefault="00C56B49">
            <w:pPr>
              <w:pStyle w:val="ConsPlusNormal"/>
              <w:jc w:val="center"/>
            </w:pPr>
            <w:r>
              <w:t>Плановый период t + 1 год</w:t>
            </w:r>
          </w:p>
        </w:tc>
        <w:tc>
          <w:tcPr>
            <w:tcW w:w="1134" w:type="dxa"/>
          </w:tcPr>
          <w:p w:rsidR="00C56B49" w:rsidRDefault="00C56B49">
            <w:pPr>
              <w:pStyle w:val="ConsPlusNormal"/>
              <w:jc w:val="center"/>
            </w:pPr>
            <w:r>
              <w:t>Плановый период t + 2 год</w:t>
            </w:r>
          </w:p>
        </w:tc>
        <w:tc>
          <w:tcPr>
            <w:tcW w:w="1191" w:type="dxa"/>
          </w:tcPr>
          <w:p w:rsidR="00C56B49" w:rsidRDefault="00C56B49">
            <w:pPr>
              <w:pStyle w:val="ConsPlusNormal"/>
              <w:jc w:val="center"/>
            </w:pPr>
            <w:r>
              <w:t>Плановый период t + 3 год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8.1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федеральный бюджет</w:t>
            </w:r>
          </w:p>
        </w:tc>
        <w:tc>
          <w:tcPr>
            <w:tcW w:w="1077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55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8.2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региональный бюджет</w:t>
            </w:r>
          </w:p>
        </w:tc>
        <w:tc>
          <w:tcPr>
            <w:tcW w:w="1077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55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8.3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муниципальный бюджет</w:t>
            </w:r>
          </w:p>
        </w:tc>
        <w:tc>
          <w:tcPr>
            <w:tcW w:w="1077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55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8.4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077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55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lastRenderedPageBreak/>
              <w:t>8.5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  <w:r>
              <w:t>Общий объем:</w:t>
            </w:r>
          </w:p>
        </w:tc>
        <w:tc>
          <w:tcPr>
            <w:tcW w:w="1077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55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9035" w:type="dxa"/>
            <w:gridSpan w:val="8"/>
          </w:tcPr>
          <w:p w:rsidR="00C56B49" w:rsidRDefault="00C56B49">
            <w:pPr>
              <w:pStyle w:val="ConsPlusNormal"/>
              <w:jc w:val="center"/>
            </w:pPr>
            <w:r>
              <w:t>II. Информация о достижении показателей реализации Программы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381" w:type="dxa"/>
          </w:tcPr>
          <w:p w:rsidR="00C56B49" w:rsidRDefault="00C56B49">
            <w:pPr>
              <w:pStyle w:val="ConsPlusNormal"/>
              <w:jc w:val="center"/>
            </w:pPr>
            <w:r>
              <w:t>Наименование показателя Программы</w:t>
            </w:r>
          </w:p>
        </w:tc>
        <w:tc>
          <w:tcPr>
            <w:tcW w:w="3083" w:type="dxa"/>
            <w:gridSpan w:val="3"/>
          </w:tcPr>
          <w:p w:rsidR="00C56B49" w:rsidRDefault="00C56B49">
            <w:pPr>
              <w:pStyle w:val="ConsPlusNormal"/>
              <w:jc w:val="center"/>
            </w:pPr>
            <w:r>
              <w:t>Плановое значение показателя Программы</w:t>
            </w:r>
          </w:p>
          <w:p w:rsidR="00C56B49" w:rsidRDefault="00C56B49">
            <w:pPr>
              <w:pStyle w:val="ConsPlusNormal"/>
              <w:jc w:val="center"/>
            </w:pPr>
            <w:r>
              <w:t>(по итогам отчетного периода)</w:t>
            </w:r>
          </w:p>
        </w:tc>
        <w:tc>
          <w:tcPr>
            <w:tcW w:w="3005" w:type="dxa"/>
            <w:gridSpan w:val="3"/>
          </w:tcPr>
          <w:p w:rsidR="00C56B49" w:rsidRDefault="00C56B49">
            <w:pPr>
              <w:pStyle w:val="ConsPlusNormal"/>
              <w:jc w:val="center"/>
            </w:pPr>
            <w:r>
              <w:t>Фактическое значение показателя Программы</w:t>
            </w:r>
          </w:p>
          <w:p w:rsidR="00C56B49" w:rsidRDefault="00C56B49">
            <w:pPr>
              <w:pStyle w:val="ConsPlusNormal"/>
              <w:jc w:val="center"/>
            </w:pPr>
            <w:r>
              <w:t>(по итогам отчетного периода)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381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3083" w:type="dxa"/>
            <w:gridSpan w:val="3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3005" w:type="dxa"/>
            <w:gridSpan w:val="3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381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3083" w:type="dxa"/>
            <w:gridSpan w:val="3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3005" w:type="dxa"/>
            <w:gridSpan w:val="3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81" w:type="dxa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3083" w:type="dxa"/>
            <w:gridSpan w:val="3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3005" w:type="dxa"/>
            <w:gridSpan w:val="3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9035" w:type="dxa"/>
            <w:gridSpan w:val="8"/>
          </w:tcPr>
          <w:p w:rsidR="00C56B49" w:rsidRDefault="00C56B49">
            <w:pPr>
              <w:pStyle w:val="ConsPlusNormal"/>
              <w:jc w:val="center"/>
            </w:pPr>
            <w:r>
              <w:t>III. Информация о выполнении мероприятий реализации Программы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center"/>
            </w:pPr>
            <w:r>
              <w:t>Наименование мероприятия реализации Программы</w:t>
            </w: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center"/>
            </w:pPr>
            <w:r>
              <w:t>Статус выполнения мероприятия реализации Программы (включая статус выполнения соответствующих контрольных точек) (выполнено/выполнено частично/не выполнено)</w:t>
            </w: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  <w:tr w:rsidR="00C56B49">
        <w:tc>
          <w:tcPr>
            <w:tcW w:w="566" w:type="dxa"/>
          </w:tcPr>
          <w:p w:rsidR="00C56B49" w:rsidRDefault="00C56B4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3912" w:type="dxa"/>
            <w:gridSpan w:val="2"/>
          </w:tcPr>
          <w:p w:rsidR="00C56B49" w:rsidRDefault="00C56B49">
            <w:pPr>
              <w:pStyle w:val="ConsPlusNormal"/>
              <w:jc w:val="both"/>
            </w:pPr>
          </w:p>
        </w:tc>
        <w:tc>
          <w:tcPr>
            <w:tcW w:w="4557" w:type="dxa"/>
            <w:gridSpan w:val="5"/>
          </w:tcPr>
          <w:p w:rsidR="00C56B49" w:rsidRDefault="00C56B49">
            <w:pPr>
              <w:pStyle w:val="ConsPlusNormal"/>
              <w:jc w:val="both"/>
            </w:pPr>
          </w:p>
        </w:tc>
      </w:tr>
    </w:tbl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ind w:firstLine="540"/>
        <w:jc w:val="both"/>
      </w:pPr>
    </w:p>
    <w:p w:rsidR="00C56B49" w:rsidRDefault="00C56B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41F1" w:rsidRDefault="00E741F1"/>
    <w:sectPr w:rsidR="00E741F1" w:rsidSect="0049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49"/>
    <w:rsid w:val="002F0C04"/>
    <w:rsid w:val="00B90279"/>
    <w:rsid w:val="00C56B49"/>
    <w:rsid w:val="00E7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4F8C"/>
  <w15:chartTrackingRefBased/>
  <w15:docId w15:val="{B15F3652-B8B5-4B14-BB50-8EBBB6A0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56B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6B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597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0597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64074&amp;dst=100008" TargetMode="External"/><Relationship Id="rId5" Type="http://schemas.openxmlformats.org/officeDocument/2006/relationships/hyperlink" Target="https://login.consultant.ru/link/?req=doc&amp;base=LAW&amp;n=460597&amp;dst=10000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0597&amp;dst=10001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6021</Words>
  <Characters>34320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 Светлана Владимировна</dc:creator>
  <cp:keywords/>
  <dc:description/>
  <cp:lastModifiedBy>nasti_22</cp:lastModifiedBy>
  <cp:revision>2</cp:revision>
  <dcterms:created xsi:type="dcterms:W3CDTF">2025-03-13T11:26:00Z</dcterms:created>
  <dcterms:modified xsi:type="dcterms:W3CDTF">2025-03-14T08:08:00Z</dcterms:modified>
</cp:coreProperties>
</file>